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023FFF">
      <w:pPr>
        <w:jc w:val="center"/>
        <w:rPr>
          <w:rFonts w:ascii="宋体" w:hAnsi="宋体" w:eastAsia="宋体" w:cs="宋体"/>
          <w:b/>
          <w:bCs/>
          <w:sz w:val="52"/>
          <w:szCs w:val="52"/>
        </w:rPr>
      </w:pPr>
    </w:p>
    <w:p w14:paraId="534E16C5">
      <w:pPr>
        <w:jc w:val="center"/>
        <w:rPr>
          <w:rFonts w:ascii="宋体" w:hAnsi="宋体" w:eastAsia="宋体" w:cs="宋体"/>
          <w:b/>
          <w:bCs/>
          <w:sz w:val="52"/>
          <w:szCs w:val="52"/>
        </w:rPr>
      </w:pPr>
      <w:r>
        <w:rPr>
          <w:rFonts w:hint="eastAsia" w:ascii="宋体" w:hAnsi="宋体" w:eastAsia="宋体" w:cs="宋体"/>
          <w:b/>
          <w:bCs/>
          <w:sz w:val="52"/>
          <w:szCs w:val="52"/>
        </w:rPr>
        <w:t>供应商项目履约操作手册</w:t>
      </w:r>
    </w:p>
    <w:p w14:paraId="69B0A84F">
      <w:pPr>
        <w:jc w:val="center"/>
        <w:rPr>
          <w:rFonts w:ascii="宋体" w:hAnsi="宋体" w:eastAsia="宋体" w:cs="宋体"/>
          <w:b/>
          <w:bCs/>
          <w:sz w:val="52"/>
          <w:szCs w:val="52"/>
        </w:rPr>
      </w:pPr>
      <w:r>
        <w:rPr>
          <w:rFonts w:hint="eastAsia" w:ascii="宋体" w:hAnsi="宋体" w:eastAsia="宋体" w:cs="宋体"/>
          <w:b/>
          <w:bCs/>
          <w:sz w:val="52"/>
          <w:szCs w:val="52"/>
        </w:rPr>
        <w:t>（V1.</w:t>
      </w:r>
      <w:r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  <w:t>1</w:t>
      </w:r>
      <w:r>
        <w:rPr>
          <w:rFonts w:hint="eastAsia" w:ascii="宋体" w:hAnsi="宋体" w:eastAsia="宋体" w:cs="宋体"/>
          <w:b/>
          <w:bCs/>
          <w:sz w:val="52"/>
          <w:szCs w:val="52"/>
        </w:rPr>
        <w:t>）</w:t>
      </w:r>
    </w:p>
    <w:p w14:paraId="5D8F0A2F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p w14:paraId="3747B47C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p w14:paraId="087883BE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p w14:paraId="69F7BC59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tbl>
      <w:tblPr>
        <w:tblStyle w:val="1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89"/>
        <w:gridCol w:w="2490"/>
        <w:gridCol w:w="2490"/>
        <w:gridCol w:w="2490"/>
      </w:tblGrid>
      <w:tr w14:paraId="261F7C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7" w:hRule="atLeast"/>
        </w:trPr>
        <w:tc>
          <w:tcPr>
            <w:tcW w:w="2489" w:type="dxa"/>
            <w:shd w:val="clear" w:color="auto" w:fill="D7D7D7" w:themeFill="background1" w:themeFillShade="D8"/>
          </w:tcPr>
          <w:p w14:paraId="3734F5FB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版本</w:t>
            </w:r>
          </w:p>
        </w:tc>
        <w:tc>
          <w:tcPr>
            <w:tcW w:w="2490" w:type="dxa"/>
            <w:shd w:val="clear" w:color="auto" w:fill="D7D7D7" w:themeFill="background1" w:themeFillShade="D8"/>
          </w:tcPr>
          <w:p w14:paraId="21565482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修订内容</w:t>
            </w:r>
          </w:p>
        </w:tc>
        <w:tc>
          <w:tcPr>
            <w:tcW w:w="2490" w:type="dxa"/>
            <w:shd w:val="clear" w:color="auto" w:fill="D7D7D7" w:themeFill="background1" w:themeFillShade="D8"/>
          </w:tcPr>
          <w:p w14:paraId="57B62A66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修订人</w:t>
            </w:r>
          </w:p>
        </w:tc>
        <w:tc>
          <w:tcPr>
            <w:tcW w:w="2490" w:type="dxa"/>
            <w:shd w:val="clear" w:color="auto" w:fill="D7D7D7" w:themeFill="background1" w:themeFillShade="D8"/>
          </w:tcPr>
          <w:p w14:paraId="7298672E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修订时间</w:t>
            </w:r>
          </w:p>
        </w:tc>
      </w:tr>
      <w:tr w14:paraId="001B6F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9" w:type="dxa"/>
          </w:tcPr>
          <w:p w14:paraId="22F8915A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V1.0</w:t>
            </w:r>
          </w:p>
        </w:tc>
        <w:tc>
          <w:tcPr>
            <w:tcW w:w="2490" w:type="dxa"/>
          </w:tcPr>
          <w:p w14:paraId="25AA5750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初稿</w:t>
            </w:r>
          </w:p>
        </w:tc>
        <w:tc>
          <w:tcPr>
            <w:tcW w:w="2490" w:type="dxa"/>
          </w:tcPr>
          <w:p w14:paraId="6B61165E"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孙辛玉清</w:t>
            </w:r>
          </w:p>
        </w:tc>
        <w:tc>
          <w:tcPr>
            <w:tcW w:w="2490" w:type="dxa"/>
          </w:tcPr>
          <w:p w14:paraId="7E3E611B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2024-05-31</w:t>
            </w:r>
          </w:p>
        </w:tc>
      </w:tr>
      <w:tr w14:paraId="27824C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9" w:type="dxa"/>
            <w:vAlign w:val="top"/>
          </w:tcPr>
          <w:p w14:paraId="43A50002">
            <w:pPr>
              <w:ind w:firstLine="420" w:firstLineChars="150"/>
              <w:jc w:val="left"/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V1.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1</w:t>
            </w:r>
          </w:p>
        </w:tc>
        <w:tc>
          <w:tcPr>
            <w:tcW w:w="2490" w:type="dxa"/>
            <w:vAlign w:val="top"/>
          </w:tcPr>
          <w:p w14:paraId="6C58D971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初稿</w:t>
            </w:r>
          </w:p>
        </w:tc>
        <w:tc>
          <w:tcPr>
            <w:tcW w:w="2490" w:type="dxa"/>
            <w:vAlign w:val="top"/>
          </w:tcPr>
          <w:p w14:paraId="5F395827">
            <w:pPr>
              <w:jc w:val="left"/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陈文</w:t>
            </w:r>
          </w:p>
        </w:tc>
        <w:tc>
          <w:tcPr>
            <w:tcW w:w="2490" w:type="dxa"/>
            <w:vAlign w:val="top"/>
          </w:tcPr>
          <w:p w14:paraId="55EB9B64">
            <w:pPr>
              <w:ind w:firstLine="420" w:firstLineChars="150"/>
              <w:jc w:val="left"/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2024-0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7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-3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0</w:t>
            </w:r>
          </w:p>
        </w:tc>
      </w:tr>
      <w:tr w14:paraId="4E6768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9" w:type="dxa"/>
          </w:tcPr>
          <w:p w14:paraId="53359409"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4E8723E7"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1749595B"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27F7F761"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</w:tr>
      <w:tr w14:paraId="67981E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9" w:type="dxa"/>
          </w:tcPr>
          <w:p w14:paraId="7E1C397A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5644C7A3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6C5AA1CA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04C8CE19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</w:tr>
    </w:tbl>
    <w:p w14:paraId="170081AD">
      <w:pPr>
        <w:jc w:val="left"/>
        <w:rPr>
          <w:rFonts w:asciiTheme="minorEastAsia" w:hAnsiTheme="minorEastAsia" w:cstheme="minorEastAsia"/>
          <w:sz w:val="28"/>
          <w:szCs w:val="28"/>
        </w:rPr>
      </w:pPr>
    </w:p>
    <w:p w14:paraId="77C447BD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p w14:paraId="73607E43">
      <w:pPr>
        <w:jc w:val="left"/>
        <w:rPr>
          <w:rFonts w:asciiTheme="minorEastAsia" w:hAnsiTheme="minorEastAsia" w:cstheme="minorEastAsia"/>
          <w:sz w:val="28"/>
          <w:szCs w:val="28"/>
        </w:rPr>
      </w:pPr>
    </w:p>
    <w:p w14:paraId="036DE9BF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p w14:paraId="5930E3CB">
      <w:pPr>
        <w:ind w:firstLine="420" w:firstLineChars="150"/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江苏运时数据软件股份有限公司</w:t>
      </w:r>
    </w:p>
    <w:p w14:paraId="59319DB4">
      <w:pPr>
        <w:ind w:firstLine="420" w:firstLineChars="150"/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（版权所有）</w:t>
      </w:r>
    </w:p>
    <w:p w14:paraId="7BA1A38F">
      <w:pPr>
        <w:ind w:firstLine="420" w:firstLineChars="150"/>
        <w:jc w:val="center"/>
        <w:rPr>
          <w:rFonts w:asciiTheme="minorEastAsia" w:hAnsiTheme="minorEastAsia" w:cstheme="minorEastAsia"/>
          <w:sz w:val="28"/>
          <w:szCs w:val="28"/>
        </w:rPr>
      </w:pPr>
    </w:p>
    <w:p w14:paraId="7B1926B8">
      <w:pPr>
        <w:ind w:firstLine="420" w:firstLineChars="150"/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2024年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0</w:t>
      </w:r>
      <w:bookmarkStart w:id="14" w:name="_GoBack"/>
      <w:bookmarkEnd w:id="14"/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7</w:t>
      </w:r>
      <w:r>
        <w:rPr>
          <w:rFonts w:hint="eastAsia" w:asciiTheme="minorEastAsia" w:hAnsiTheme="minorEastAsia" w:cstheme="minorEastAsia"/>
          <w:sz w:val="28"/>
          <w:szCs w:val="28"/>
        </w:rPr>
        <w:t>月3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0</w:t>
      </w:r>
      <w:r>
        <w:rPr>
          <w:rFonts w:hint="eastAsia" w:asciiTheme="minorEastAsia" w:hAnsiTheme="minorEastAsia" w:cstheme="minorEastAsia"/>
          <w:sz w:val="28"/>
          <w:szCs w:val="28"/>
        </w:rPr>
        <w:t>日</w:t>
      </w:r>
    </w:p>
    <w:p w14:paraId="3E188A77"/>
    <w:p w14:paraId="44E5CED0"/>
    <w:sdt>
      <w:sdtPr>
        <w:rPr>
          <w:rFonts w:ascii="宋体" w:hAnsi="宋体" w:eastAsia="宋体"/>
        </w:rPr>
        <w:id w:val="147466595"/>
        <w15:color w:val="DBDBDB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/>
        </w:rPr>
      </w:sdtEndPr>
      <w:sdtContent>
        <w:p w14:paraId="5903B453">
          <w:pPr>
            <w:jc w:val="center"/>
          </w:pPr>
          <w:r>
            <w:rPr>
              <w:rFonts w:ascii="宋体" w:hAnsi="宋体" w:eastAsia="宋体"/>
            </w:rPr>
            <w:t>目录</w:t>
          </w:r>
        </w:p>
        <w:p w14:paraId="7C959B1B">
          <w:pPr>
            <w:pStyle w:val="10"/>
            <w:tabs>
              <w:tab w:val="right" w:leader="dot" w:pos="974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_Toc697 </w:instrText>
          </w:r>
          <w:r>
            <w:fldChar w:fldCharType="separate"/>
          </w:r>
          <w:r>
            <w:rPr>
              <w:rFonts w:ascii="Arial" w:hAnsi="Arial" w:eastAsia="黑体" w:cstheme="minorBidi"/>
              <w:bCs w:val="0"/>
              <w:kern w:val="2"/>
              <w:szCs w:val="24"/>
            </w:rPr>
            <w:t>1、项目中选</w:t>
          </w:r>
          <w:r>
            <w:tab/>
          </w:r>
          <w:r>
            <w:fldChar w:fldCharType="begin"/>
          </w:r>
          <w:r>
            <w:instrText xml:space="preserve"> PAGEREF _Toc697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 w14:paraId="18647FCE">
          <w:pPr>
            <w:pStyle w:val="10"/>
            <w:tabs>
              <w:tab w:val="right" w:leader="dot" w:pos="9746"/>
            </w:tabs>
          </w:pPr>
          <w:r>
            <w:fldChar w:fldCharType="begin"/>
          </w:r>
          <w:r>
            <w:instrText xml:space="preserve"> HYPERLINK \l _Toc28837 </w:instrText>
          </w:r>
          <w:r>
            <w:fldChar w:fldCharType="separate"/>
          </w:r>
          <w:r>
            <w:rPr>
              <w:rFonts w:ascii="Arial" w:hAnsi="Arial" w:eastAsia="黑体" w:cstheme="minorBidi"/>
              <w:bCs w:val="0"/>
              <w:kern w:val="2"/>
              <w:szCs w:val="24"/>
            </w:rPr>
            <w:t>2、履约管理</w:t>
          </w:r>
          <w:r>
            <w:tab/>
          </w:r>
          <w:r>
            <w:fldChar w:fldCharType="begin"/>
          </w:r>
          <w:r>
            <w:instrText xml:space="preserve"> PAGEREF _Toc28837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 w14:paraId="01024011">
          <w:pPr>
            <w:pStyle w:val="10"/>
            <w:tabs>
              <w:tab w:val="right" w:leader="dot" w:pos="9746"/>
            </w:tabs>
          </w:pPr>
          <w:r>
            <w:fldChar w:fldCharType="begin"/>
          </w:r>
          <w:r>
            <w:instrText xml:space="preserve"> HYPERLINK \l _Toc31539 </w:instrText>
          </w:r>
          <w:r>
            <w:fldChar w:fldCharType="separate"/>
          </w:r>
          <w:r>
            <w:rPr>
              <w:rFonts w:ascii="Arial" w:hAnsi="Arial" w:eastAsia="黑体" w:cstheme="minorBidi"/>
              <w:bCs w:val="0"/>
              <w:kern w:val="2"/>
              <w:szCs w:val="24"/>
            </w:rPr>
            <w:t>3、合同签订</w:t>
          </w:r>
          <w:r>
            <w:tab/>
          </w:r>
          <w:r>
            <w:fldChar w:fldCharType="begin"/>
          </w:r>
          <w:r>
            <w:instrText xml:space="preserve"> PAGEREF _Toc31539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 w14:paraId="1C5DC18F">
          <w:pPr>
            <w:pStyle w:val="10"/>
            <w:tabs>
              <w:tab w:val="right" w:leader="dot" w:pos="9746"/>
            </w:tabs>
          </w:pPr>
          <w:r>
            <w:fldChar w:fldCharType="begin"/>
          </w:r>
          <w:r>
            <w:instrText xml:space="preserve"> HYPERLINK \l _Toc9863 </w:instrText>
          </w:r>
          <w:r>
            <w:fldChar w:fldCharType="separate"/>
          </w:r>
          <w:r>
            <w:rPr>
              <w:rFonts w:ascii="Arial" w:hAnsi="Arial" w:eastAsia="黑体" w:cstheme="minorBidi"/>
              <w:bCs w:val="0"/>
              <w:kern w:val="2"/>
              <w:szCs w:val="24"/>
            </w:rPr>
            <w:t>4、应收账款</w:t>
          </w:r>
          <w:r>
            <w:tab/>
          </w:r>
          <w:r>
            <w:fldChar w:fldCharType="begin"/>
          </w:r>
          <w:r>
            <w:instrText xml:space="preserve"> PAGEREF _Toc9863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 w14:paraId="183FFF12">
          <w:pPr>
            <w:pStyle w:val="10"/>
            <w:tabs>
              <w:tab w:val="right" w:leader="dot" w:pos="9746"/>
            </w:tabs>
          </w:pPr>
          <w:r>
            <w:fldChar w:fldCharType="begin"/>
          </w:r>
          <w:r>
            <w:instrText xml:space="preserve"> HYPERLINK \l _Toc11204 </w:instrText>
          </w:r>
          <w:r>
            <w:fldChar w:fldCharType="separate"/>
          </w:r>
          <w:r>
            <w:rPr>
              <w:rFonts w:ascii="Arial" w:hAnsi="Arial" w:eastAsia="黑体" w:cstheme="minorBidi"/>
              <w:bCs w:val="0"/>
              <w:kern w:val="2"/>
              <w:szCs w:val="24"/>
            </w:rPr>
            <w:t>5、项目验收</w:t>
          </w:r>
          <w:r>
            <w:tab/>
          </w:r>
          <w:r>
            <w:fldChar w:fldCharType="begin"/>
          </w:r>
          <w:r>
            <w:instrText xml:space="preserve"> PAGEREF _Toc11204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 w14:paraId="413FD595">
          <w:pPr>
            <w:pStyle w:val="10"/>
            <w:tabs>
              <w:tab w:val="right" w:leader="dot" w:pos="9746"/>
            </w:tabs>
          </w:pPr>
          <w:r>
            <w:fldChar w:fldCharType="begin"/>
          </w:r>
          <w:r>
            <w:instrText xml:space="preserve"> HYPERLINK \l _Toc3534 </w:instrText>
          </w:r>
          <w:r>
            <w:fldChar w:fldCharType="separate"/>
          </w:r>
          <w:r>
            <w:rPr>
              <w:rFonts w:ascii="Arial" w:hAnsi="Arial" w:eastAsia="黑体" w:cstheme="minorBidi"/>
              <w:bCs w:val="0"/>
              <w:kern w:val="2"/>
              <w:szCs w:val="24"/>
            </w:rPr>
            <w:t>6、收到评价</w:t>
          </w:r>
          <w:r>
            <w:tab/>
          </w:r>
          <w:r>
            <w:fldChar w:fldCharType="begin"/>
          </w:r>
          <w:r>
            <w:instrText xml:space="preserve"> PAGEREF _Toc3534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20B30AE9">
          <w:pPr>
            <w:pStyle w:val="10"/>
            <w:tabs>
              <w:tab w:val="right" w:leader="dot" w:pos="9746"/>
            </w:tabs>
          </w:pPr>
          <w:r>
            <w:fldChar w:fldCharType="begin"/>
          </w:r>
          <w:r>
            <w:instrText xml:space="preserve"> HYPERLINK \l _Toc15395 </w:instrText>
          </w:r>
          <w:r>
            <w:fldChar w:fldCharType="separate"/>
          </w:r>
          <w:r>
            <w:rPr>
              <w:rFonts w:ascii="Arial" w:hAnsi="Arial" w:eastAsia="黑体" w:cstheme="minorBidi"/>
              <w:bCs w:val="0"/>
              <w:kern w:val="2"/>
              <w:szCs w:val="24"/>
            </w:rPr>
            <w:t>7、支付尾款</w:t>
          </w:r>
          <w:r>
            <w:tab/>
          </w:r>
          <w:r>
            <w:fldChar w:fldCharType="begin"/>
          </w:r>
          <w:r>
            <w:instrText xml:space="preserve"> PAGEREF _Toc15395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 w14:paraId="2E34059F">
          <w:r>
            <w:fldChar w:fldCharType="end"/>
          </w:r>
        </w:p>
      </w:sdtContent>
    </w:sdt>
    <w:p w14:paraId="30400D10"/>
    <w:p w14:paraId="4B31E7F9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</w:p>
    <w:p w14:paraId="02BECCD1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 </w:t>
      </w:r>
    </w:p>
    <w:p w14:paraId="5AF4A064">
      <w:pPr>
        <w:widowControl/>
        <w:jc w:val="left"/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/>
          <w:sz w:val="28"/>
          <w:szCs w:val="28"/>
        </w:rPr>
        <w:br w:type="page"/>
      </w:r>
    </w:p>
    <w:p w14:paraId="659F03CA">
      <w:pPr>
        <w:pStyle w:val="3"/>
        <w:keepNext/>
        <w:keepLines/>
        <w:spacing w:before="140" w:beforeAutospacing="0" w:after="140" w:afterAutospacing="0"/>
        <w:jc w:val="both"/>
        <w:rPr>
          <w:rFonts w:hint="default" w:ascii="Arial" w:hAnsi="Arial" w:eastAsia="黑体" w:cstheme="minorBidi"/>
          <w:bCs w:val="0"/>
          <w:kern w:val="2"/>
          <w:sz w:val="32"/>
          <w:szCs w:val="24"/>
        </w:rPr>
      </w:pPr>
      <w:bookmarkStart w:id="0" w:name="_Toc11199"/>
      <w:bookmarkStart w:id="1" w:name="_Toc697"/>
      <w:r>
        <w:rPr>
          <w:rFonts w:ascii="Arial" w:hAnsi="Arial" w:eastAsia="黑体" w:cstheme="minorBidi"/>
          <w:bCs w:val="0"/>
          <w:kern w:val="2"/>
          <w:sz w:val="32"/>
          <w:szCs w:val="24"/>
        </w:rPr>
        <w:t>1、项目中选</w:t>
      </w:r>
      <w:bookmarkEnd w:id="0"/>
      <w:bookmarkEnd w:id="1"/>
    </w:p>
    <w:p w14:paraId="4AC1B64C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项目中选后便可以进行项目的履约流程了。</w:t>
      </w:r>
    </w:p>
    <w:p w14:paraId="58BFFE69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项目中选后，供应商工作台处会收到相关消息提醒，请注意查看您的消息，点击消息列表中的“查看”可以查看消息对应的内容或直接跳转到查看项目页面。</w:t>
      </w:r>
    </w:p>
    <w:p w14:paraId="7750E7A2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186805" cy="2785110"/>
            <wp:effectExtent l="0" t="0" r="4445" b="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rcRect t="4880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278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C9FA6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 </w:t>
      </w:r>
    </w:p>
    <w:p w14:paraId="44B452F4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也可以在“我的项目”模块菜单中，找到并查看您中选的项目。</w:t>
      </w:r>
    </w:p>
    <w:p w14:paraId="08DCFF84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182360" cy="2762250"/>
            <wp:effectExtent l="0" t="0" r="5080" b="11430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8466D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 </w:t>
      </w:r>
    </w:p>
    <w:p w14:paraId="0D1B407D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点击“查看”可查看成交通知书，会显示供应商中选的项目信息，中选价格等。点击“下载成交通知书”可下载成交通知书，请注意收到通知书后尽快与采购人取得联系并签订合同。</w:t>
      </w:r>
    </w:p>
    <w:p w14:paraId="687C1933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187440" cy="2907665"/>
            <wp:effectExtent l="0" t="0" r="0" b="3175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290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9DEA8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 </w:t>
      </w:r>
    </w:p>
    <w:p w14:paraId="244CF3BA">
      <w:pPr>
        <w:pStyle w:val="3"/>
        <w:keepNext/>
        <w:keepLines/>
        <w:spacing w:before="140" w:beforeAutospacing="0" w:after="140" w:afterAutospacing="0"/>
        <w:jc w:val="both"/>
        <w:rPr>
          <w:rFonts w:hint="default" w:ascii="Arial" w:hAnsi="Arial" w:eastAsia="黑体" w:cstheme="minorBidi"/>
          <w:bCs w:val="0"/>
          <w:kern w:val="2"/>
          <w:sz w:val="32"/>
          <w:szCs w:val="24"/>
        </w:rPr>
      </w:pPr>
      <w:bookmarkStart w:id="2" w:name="_Toc12540"/>
      <w:bookmarkStart w:id="3" w:name="_Toc28837"/>
      <w:r>
        <w:rPr>
          <w:rFonts w:ascii="Arial" w:hAnsi="Arial" w:eastAsia="黑体" w:cstheme="minorBidi"/>
          <w:bCs w:val="0"/>
          <w:kern w:val="2"/>
          <w:sz w:val="32"/>
          <w:szCs w:val="24"/>
        </w:rPr>
        <w:t>2、履约管理</w:t>
      </w:r>
      <w:bookmarkEnd w:id="2"/>
      <w:bookmarkEnd w:id="3"/>
    </w:p>
    <w:p w14:paraId="49BD5397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供应商中选后，先由采购人发起履约操作的第一步，即下文所讲的发起合同，自此项目正式进入履约流程。</w:t>
      </w:r>
    </w:p>
    <w:p w14:paraId="0A09CC37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供应商登录，进入我的工作台，点击“项目”菜单下的“我的项目”模块菜单，显示履约中的项目。</w:t>
      </w:r>
    </w:p>
    <w:p w14:paraId="0F74D964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待采购人发起项目合同后，供应商点击列表中操作列的“查看”按钮，查看供应商端合同签订信息。</w:t>
      </w:r>
    </w:p>
    <w:p w14:paraId="49EC7EDD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6187440" cy="2766060"/>
            <wp:effectExtent l="0" t="0" r="3810" b="0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rcRect t="684" b="1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276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F0124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 </w:t>
      </w:r>
    </w:p>
    <w:p w14:paraId="2FDC6485">
      <w:pPr>
        <w:pStyle w:val="3"/>
        <w:keepNext/>
        <w:keepLines/>
        <w:spacing w:before="140" w:beforeAutospacing="0" w:after="140" w:afterAutospacing="0"/>
        <w:jc w:val="both"/>
        <w:rPr>
          <w:rFonts w:hint="default" w:ascii="Arial" w:hAnsi="Arial" w:eastAsia="黑体" w:cstheme="minorBidi"/>
          <w:bCs w:val="0"/>
          <w:kern w:val="2"/>
          <w:sz w:val="32"/>
          <w:szCs w:val="24"/>
        </w:rPr>
      </w:pPr>
      <w:bookmarkStart w:id="4" w:name="_Toc11561"/>
      <w:bookmarkStart w:id="5" w:name="_Toc31539"/>
      <w:r>
        <w:rPr>
          <w:rFonts w:ascii="Arial" w:hAnsi="Arial" w:eastAsia="黑体" w:cstheme="minorBidi"/>
          <w:bCs w:val="0"/>
          <w:kern w:val="2"/>
          <w:sz w:val="32"/>
          <w:szCs w:val="24"/>
        </w:rPr>
        <w:t>3、合同签订</w:t>
      </w:r>
      <w:bookmarkEnd w:id="4"/>
      <w:bookmarkEnd w:id="5"/>
    </w:p>
    <w:p w14:paraId="4FB78909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根据采购人端选择的 “线下签约” 供应商端将会执行签约流程。</w:t>
      </w:r>
    </w:p>
    <w:p w14:paraId="0FCC5415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采购人选择线下签约后，会上传甲乙双方的合同扫描件，提交后需要供应商查看合同，合同内容无误后点击“通过”进入下一个阶段，否则点击“不通过”。</w:t>
      </w:r>
    </w:p>
    <w:p w14:paraId="7CDBABD9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drawing>
          <wp:inline distT="0" distB="0" distL="114300" distR="114300">
            <wp:extent cx="6180455" cy="2786380"/>
            <wp:effectExtent l="0" t="0" r="10795" b="13970"/>
            <wp:docPr id="39" name="图片 39" descr="E:/孙辛/2023.2.21镇江政府采购平台/操作说明/供应商操作手册/操作手册 - 副本/供应商操作说明.files/image070.pngimage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E:/孙辛/2023.2.21镇江政府采购平台/操作说明/供应商操作手册/操作手册 - 副本/供应商操作说明.files/image070.pngimage070"/>
                    <pic:cNvPicPr>
                      <a:picLocks noChangeAspect="1"/>
                    </pic:cNvPicPr>
                  </pic:nvPicPr>
                  <pic:blipFill>
                    <a:blip r:embed="rId10"/>
                    <a:srcRect t="10" b="10"/>
                    <a:stretch>
                      <a:fillRect/>
                    </a:stretch>
                  </pic:blipFill>
                  <pic:spPr>
                    <a:xfrm>
                      <a:off x="0" y="0"/>
                      <a:ext cx="6180455" cy="278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A1518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  </w:t>
      </w:r>
    </w:p>
    <w:p w14:paraId="5A897743">
      <w:pPr>
        <w:pStyle w:val="3"/>
        <w:keepNext/>
        <w:keepLines/>
        <w:spacing w:before="140" w:beforeAutospacing="0" w:after="140" w:afterAutospacing="0"/>
        <w:jc w:val="both"/>
        <w:rPr>
          <w:rFonts w:hint="default" w:ascii="Arial" w:hAnsi="Arial" w:eastAsia="黑体" w:cstheme="minorBidi"/>
          <w:bCs w:val="0"/>
          <w:kern w:val="2"/>
          <w:sz w:val="32"/>
          <w:szCs w:val="24"/>
        </w:rPr>
      </w:pPr>
      <w:bookmarkStart w:id="6" w:name="_Toc28421"/>
      <w:bookmarkStart w:id="7" w:name="_Toc9863"/>
      <w:r>
        <w:rPr>
          <w:rFonts w:ascii="Arial" w:hAnsi="Arial" w:eastAsia="黑体" w:cstheme="minorBidi"/>
          <w:bCs w:val="0"/>
          <w:kern w:val="2"/>
          <w:sz w:val="32"/>
          <w:szCs w:val="24"/>
        </w:rPr>
        <w:t>4、应收账款</w:t>
      </w:r>
      <w:bookmarkEnd w:id="6"/>
      <w:bookmarkEnd w:id="7"/>
    </w:p>
    <w:p w14:paraId="403C2189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合同签订完成后，在履约中列表，供应商点项目记录操作列的“查看”按钮，可以进入申请付款步骤。</w:t>
      </w:r>
    </w:p>
    <w:p w14:paraId="5FB3945A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申请付款的前提是供应商已经完成了采购人指定的某个阶段的服务，此时，供应商可以点击账款信息列表中操作列下对应账款期次的“申请付款”按钮弹窗申请付款窗口。</w:t>
      </w:r>
    </w:p>
    <w:p w14:paraId="7B16D26E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申请付款窗口中，供应商上传发票并点击“提交”按钮完成发票上传，发票支持3M以内的jpg/png/jpeg格式的图片。</w:t>
      </w:r>
    </w:p>
    <w:p w14:paraId="7AB18114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值得注意的是：在该步骤之前供应商需与采购人达成共识，确保该步骤能够提供的了发票。</w:t>
      </w:r>
    </w:p>
    <w:p w14:paraId="41D9E996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drawing>
          <wp:inline distT="0" distB="0" distL="114300" distR="114300">
            <wp:extent cx="6177280" cy="2776855"/>
            <wp:effectExtent l="0" t="0" r="13970" b="4445"/>
            <wp:docPr id="47" name="图片 47" descr="E:/孙辛/2023.2.21镇江政府采购平台/操作说明/供应商操作手册/操作手册 - 副本/供应商操作说明.files/image082.pngimage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E:/孙辛/2023.2.21镇江政府采购平台/操作说明/供应商操作手册/操作手册 - 副本/供应商操作说明.files/image082.pngimage082"/>
                    <pic:cNvPicPr>
                      <a:picLocks noChangeAspect="1"/>
                    </pic:cNvPicPr>
                  </pic:nvPicPr>
                  <pic:blipFill>
                    <a:blip r:embed="rId11"/>
                    <a:srcRect t="5" b="5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9EF07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 </w:t>
      </w:r>
    </w:p>
    <w:p w14:paraId="2545BA56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供应商提交了发票图片后，系统会自动识别发票内容并辅助填写发票信息，供应商需认真校对信息是否正确。</w:t>
      </w:r>
    </w:p>
    <w:p w14:paraId="5F187B60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可以在附件选项处点击“替换附件”按钮重新上传发票图片。</w:t>
      </w:r>
    </w:p>
    <w:p w14:paraId="34ED3B0D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如需上传多张发票，可以点击“继续录入发票”按钮上传发票。</w:t>
      </w:r>
    </w:p>
    <w:p w14:paraId="44236CA2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若信息填写无误，可以点击“提交”按钮提交付款申请，并等待采购人付款。</w:t>
      </w:r>
    </w:p>
    <w:p w14:paraId="7619257F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drawing>
          <wp:inline distT="0" distB="0" distL="114300" distR="114300">
            <wp:extent cx="6186805" cy="2776855"/>
            <wp:effectExtent l="0" t="0" r="4445" b="4445"/>
            <wp:docPr id="48" name="图片 48" descr="E:/孙辛/2023.2.21镇江政府采购平台/操作说明/供应商操作手册/操作手册 - 副本/供应商操作说明.files/image084.pngimage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E:/孙辛/2023.2.21镇江政府采购平台/操作说明/供应商操作手册/操作手册 - 副本/供应商操作说明.files/image084.pngimage084"/>
                    <pic:cNvPicPr>
                      <a:picLocks noChangeAspect="1"/>
                    </pic:cNvPicPr>
                  </pic:nvPicPr>
                  <pic:blipFill>
                    <a:blip r:embed="rId12"/>
                    <a:srcRect t="5" b="5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0E9F9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 </w:t>
      </w:r>
    </w:p>
    <w:p w14:paraId="78197C5F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采购人付款完成后，供应商刷新界面或再次从履约中列表点击操作列的“查看”按钮。</w:t>
      </w:r>
    </w:p>
    <w:p w14:paraId="60DC6CB5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更新后页面中账款信息列表下操作列的操作按钮变为“查看凭证”和“确认收款”，供应商点击“确认收款”按钮，弹出确认收款窗口，窗口中供应商上传收款凭证并点击“确定”按钮完成该期次款项的收款。</w:t>
      </w:r>
    </w:p>
    <w:p w14:paraId="2E2D5EF4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drawing>
          <wp:inline distT="0" distB="0" distL="114300" distR="114300">
            <wp:extent cx="6177280" cy="2773680"/>
            <wp:effectExtent l="0" t="0" r="13970" b="7620"/>
            <wp:docPr id="50" name="图片 50" descr="E:/孙辛/2023.2.21镇江政府采购平台/操作说明/供应商操作手册/操作手册 - 副本/供应商操作说明.files/image086.pngimage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E:/孙辛/2023.2.21镇江政府采购平台/操作说明/供应商操作手册/操作手册 - 副本/供应商操作说明.files/image086.pngimage086"/>
                    <pic:cNvPicPr>
                      <a:picLocks noChangeAspect="1"/>
                    </pic:cNvPicPr>
                  </pic:nvPicPr>
                  <pic:blipFill>
                    <a:blip r:embed="rId13"/>
                    <a:srcRect t="5" b="5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277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E50F5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 </w:t>
      </w:r>
    </w:p>
    <w:p w14:paraId="7B517464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若采购人拒绝付款，供应商可以点击“查看原因”了解采购人拒绝的理由，改正或线下达成共识后，再点击“重新申请”按钮，重新发起应收账款操作。</w:t>
      </w:r>
    </w:p>
    <w:p w14:paraId="5F97130B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drawing>
          <wp:inline distT="0" distB="0" distL="114300" distR="114300">
            <wp:extent cx="6177915" cy="2759075"/>
            <wp:effectExtent l="0" t="0" r="13335" b="3175"/>
            <wp:docPr id="34" name="图片 34" descr="E:/孙辛/2023.2.21镇江政府采购平台/操作说明/供应商操作手册/操作手册 - 副本/供应商操作说明.files/image088.pngimage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E:/孙辛/2023.2.21镇江政府采购平台/操作说明/供应商操作手册/操作手册 - 副本/供应商操作说明.files/image088.pngimage088"/>
                    <pic:cNvPicPr>
                      <a:picLocks noChangeAspect="1"/>
                    </pic:cNvPicPr>
                  </pic:nvPicPr>
                  <pic:blipFill>
                    <a:blip r:embed="rId14"/>
                    <a:srcRect l="12" r="12"/>
                    <a:stretch>
                      <a:fillRect/>
                    </a:stretch>
                  </pic:blipFill>
                  <pic:spPr>
                    <a:xfrm>
                      <a:off x="0" y="0"/>
                      <a:ext cx="6177915" cy="275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DEE8B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 </w:t>
      </w:r>
    </w:p>
    <w:p w14:paraId="45481774">
      <w:pPr>
        <w:pStyle w:val="3"/>
        <w:keepNext/>
        <w:keepLines/>
        <w:spacing w:before="140" w:beforeAutospacing="0" w:after="140" w:afterAutospacing="0"/>
        <w:jc w:val="both"/>
        <w:rPr>
          <w:rFonts w:hint="default" w:ascii="Arial" w:hAnsi="Arial" w:eastAsia="黑体" w:cstheme="minorBidi"/>
          <w:bCs w:val="0"/>
          <w:kern w:val="2"/>
          <w:sz w:val="32"/>
          <w:szCs w:val="24"/>
        </w:rPr>
      </w:pPr>
      <w:bookmarkStart w:id="8" w:name="_Toc24460"/>
      <w:bookmarkStart w:id="9" w:name="_Toc11204"/>
      <w:r>
        <w:rPr>
          <w:rFonts w:ascii="Arial" w:hAnsi="Arial" w:eastAsia="黑体" w:cstheme="minorBidi"/>
          <w:bCs w:val="0"/>
          <w:kern w:val="2"/>
          <w:sz w:val="32"/>
          <w:szCs w:val="24"/>
        </w:rPr>
        <w:t>5、项目验收</w:t>
      </w:r>
      <w:bookmarkEnd w:id="8"/>
      <w:bookmarkEnd w:id="9"/>
    </w:p>
    <w:p w14:paraId="31AF44C7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采购人完成项目验收操作后，供应商刷新界面或点击项目记录操作列的“查看”按钮查看项目验收报告。</w:t>
      </w:r>
    </w:p>
    <w:p w14:paraId="1494E8FF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由于采购人提交了验收报告后紧接着会对供应商进项评价，因此，供应商刷新界面后也有可能会直接显示评价的结果，此时只需点击上面步骤中的“项目验收”步骤亦可查看验收报告。</w:t>
      </w:r>
    </w:p>
    <w:p w14:paraId="352BA0DE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项目验收报告支持缩放查看、下载、打印等操作，供应商可按需选用。</w:t>
      </w:r>
    </w:p>
    <w:p w14:paraId="09FCDB16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drawing>
          <wp:inline distT="0" distB="0" distL="114300" distR="114300">
            <wp:extent cx="6171565" cy="2762250"/>
            <wp:effectExtent l="0" t="0" r="635" b="0"/>
            <wp:docPr id="35" name="图片 35" descr="E:/孙辛/2023.2.21镇江政府采购平台/操作说明/供应商操作手册/操作手册 - 副本/供应商操作说明.files/image090.pngimage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E:/孙辛/2023.2.21镇江政府采购平台/操作说明/供应商操作手册/操作手册 - 副本/供应商操作说明.files/image090.pngimage090"/>
                    <pic:cNvPicPr>
                      <a:picLocks noChangeAspect="1"/>
                    </pic:cNvPicPr>
                  </pic:nvPicPr>
                  <pic:blipFill>
                    <a:blip r:embed="rId15"/>
                    <a:srcRect l="5" r="5"/>
                    <a:stretch>
                      <a:fillRect/>
                    </a:stretch>
                  </pic:blipFill>
                  <pic:spPr>
                    <a:xfrm>
                      <a:off x="0" y="0"/>
                      <a:ext cx="6171565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00602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 </w:t>
      </w:r>
    </w:p>
    <w:p w14:paraId="28C6051A">
      <w:pPr>
        <w:pStyle w:val="3"/>
        <w:keepNext/>
        <w:keepLines/>
        <w:spacing w:before="140" w:beforeAutospacing="0" w:after="140" w:afterAutospacing="0"/>
        <w:jc w:val="both"/>
        <w:rPr>
          <w:rFonts w:hint="default" w:ascii="Arial" w:hAnsi="Arial" w:eastAsia="黑体" w:cstheme="minorBidi"/>
          <w:bCs w:val="0"/>
          <w:kern w:val="2"/>
          <w:sz w:val="32"/>
          <w:szCs w:val="24"/>
        </w:rPr>
      </w:pPr>
      <w:bookmarkStart w:id="10" w:name="_Toc14478"/>
      <w:bookmarkStart w:id="11" w:name="_Toc3534"/>
      <w:r>
        <w:rPr>
          <w:rFonts w:ascii="Arial" w:hAnsi="Arial" w:eastAsia="黑体" w:cstheme="minorBidi"/>
          <w:bCs w:val="0"/>
          <w:kern w:val="2"/>
          <w:sz w:val="32"/>
          <w:szCs w:val="24"/>
        </w:rPr>
        <w:t>6、收到评价</w:t>
      </w:r>
      <w:bookmarkEnd w:id="10"/>
      <w:bookmarkEnd w:id="11"/>
    </w:p>
    <w:p w14:paraId="7709AB13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采购人完成项目评价操作后，供应商刷新界面或点击项目记录操作列的“查看”按钮查看项目评价情况。</w:t>
      </w:r>
    </w:p>
    <w:p w14:paraId="1033A8AD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采购人会针对供应商的满意度、事件相应、交付质量、服务灵活性、交流沟通等方面对供应商进项打分，每项最高分为5分，各项打分完毕后会计算出综合评分。</w:t>
      </w:r>
    </w:p>
    <w:p w14:paraId="2267BB59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除了评分结果外，还需要认真阅读采购人对供应商的评价描述，并针对此次服务中的不足之处加以改善。</w:t>
      </w:r>
    </w:p>
    <w:p w14:paraId="2B02B604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drawing>
          <wp:inline distT="0" distB="0" distL="114300" distR="114300">
            <wp:extent cx="6170295" cy="2760980"/>
            <wp:effectExtent l="0" t="0" r="1905" b="1270"/>
            <wp:docPr id="36" name="图片 36" descr="E:/孙辛/2023.2.21镇江政府采购平台/操作说明/供应商操作手册/操作手册 - 副本/供应商操作说明.files/image092.pngimage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E:/孙辛/2023.2.21镇江政府采购平台/操作说明/供应商操作手册/操作手册 - 副本/供应商操作说明.files/image092.pngimage092"/>
                    <pic:cNvPicPr>
                      <a:picLocks noChangeAspect="1"/>
                    </pic:cNvPicPr>
                  </pic:nvPicPr>
                  <pic:blipFill>
                    <a:blip r:embed="rId16"/>
                    <a:srcRect l="11" r="11"/>
                    <a:stretch>
                      <a:fillRect/>
                    </a:stretch>
                  </pic:blipFill>
                  <pic:spPr>
                    <a:xfrm>
                      <a:off x="0" y="0"/>
                      <a:ext cx="6170295" cy="276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318A2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 </w:t>
      </w:r>
    </w:p>
    <w:p w14:paraId="7C59C579">
      <w:pPr>
        <w:pStyle w:val="3"/>
        <w:keepNext/>
        <w:keepLines/>
        <w:spacing w:before="140" w:beforeAutospacing="0" w:after="140" w:afterAutospacing="0"/>
        <w:jc w:val="both"/>
        <w:rPr>
          <w:rFonts w:hint="default" w:ascii="Arial" w:hAnsi="Arial" w:eastAsia="黑体" w:cstheme="minorBidi"/>
          <w:bCs w:val="0"/>
          <w:kern w:val="2"/>
          <w:sz w:val="32"/>
          <w:szCs w:val="24"/>
        </w:rPr>
      </w:pPr>
      <w:bookmarkStart w:id="12" w:name="_Toc8182"/>
      <w:bookmarkStart w:id="13" w:name="_Toc15395"/>
      <w:r>
        <w:rPr>
          <w:rFonts w:ascii="Arial" w:hAnsi="Arial" w:eastAsia="黑体" w:cstheme="minorBidi"/>
          <w:bCs w:val="0"/>
          <w:kern w:val="2"/>
          <w:sz w:val="32"/>
          <w:szCs w:val="24"/>
        </w:rPr>
        <w:t>7、支付尾款</w:t>
      </w:r>
      <w:bookmarkEnd w:id="12"/>
      <w:bookmarkEnd w:id="13"/>
    </w:p>
    <w:p w14:paraId="52534A34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采购人对供应商评价完成后，供应商就可以申请支付尾款了。</w:t>
      </w:r>
    </w:p>
    <w:p w14:paraId="053BF599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供应商刷新界面或点击项目记录操作列的“查看”按钮查看项目的账款信息列表。</w:t>
      </w:r>
    </w:p>
    <w:p w14:paraId="613622DA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在账款信息列表的操作列中点击尾款的“申请付款”按钮发起尾款的申请。</w:t>
      </w:r>
    </w:p>
    <w:p w14:paraId="20934004">
      <w:pPr>
        <w:pStyle w:val="11"/>
        <w:widowControl/>
        <w:spacing w:beforeAutospacing="0" w:afterAutospacing="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drawing>
          <wp:inline distT="0" distB="0" distL="114300" distR="114300">
            <wp:extent cx="6174105" cy="2764155"/>
            <wp:effectExtent l="0" t="0" r="17145" b="17145"/>
            <wp:docPr id="37" name="图片 37" descr="E:/孙辛/2023.2.21镇江政府采购平台/操作说明/供应商操作手册/操作手册 - 副本/供应商操作说明.files/image094.pngimage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E:/孙辛/2023.2.21镇江政府采购平台/操作说明/供应商操作手册/操作手册 - 副本/供应商操作说明.files/image094.pngimage094"/>
                    <pic:cNvPicPr>
                      <a:picLocks noChangeAspect="1"/>
                    </pic:cNvPicPr>
                  </pic:nvPicPr>
                  <pic:blipFill>
                    <a:blip r:embed="rId17"/>
                    <a:srcRect l="11" r="11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276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8F2F8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 </w:t>
      </w:r>
    </w:p>
    <w:p w14:paraId="15261E65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尾款申请步骤和其他期次的款项申请步骤相同，先后是供应商上传发票并提交申请信息、采购人付款后上传支付凭证、最后再由供应商上传收款凭证后完成尾款操作。</w:t>
      </w:r>
      <w:r>
        <w:rPr>
          <w:rFonts w:hint="eastAsia" w:asciiTheme="minorEastAsia" w:hAnsiTheme="minorEastAsia" w:cstheme="minorEastAsia"/>
          <w:sz w:val="28"/>
          <w:szCs w:val="28"/>
        </w:rPr>
        <w:drawing>
          <wp:inline distT="0" distB="0" distL="114300" distR="114300">
            <wp:extent cx="6174105" cy="2773680"/>
            <wp:effectExtent l="0" t="0" r="17145" b="7620"/>
            <wp:docPr id="38" name="图片 38" descr="E:/孙辛/2023.2.21镇江政府采购平台/操作说明/供应商操作手册/操作手册 - 副本/供应商操作说明.files/image096.pngimage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E:/孙辛/2023.2.21镇江政府采购平台/操作说明/供应商操作手册/操作手册 - 副本/供应商操作说明.files/image096.pngimage096"/>
                    <pic:cNvPicPr>
                      <a:picLocks noChangeAspect="1"/>
                    </pic:cNvPicPr>
                  </pic:nvPicPr>
                  <pic:blipFill>
                    <a:blip r:embed="rId18"/>
                    <a:srcRect t="5" b="5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277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D5B4F">
      <w:pPr>
        <w:pStyle w:val="11"/>
        <w:widowControl/>
        <w:spacing w:beforeAutospacing="0" w:afterAutospacing="0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</w:p>
    <w:sectPr>
      <w:headerReference r:id="rId3" w:type="default"/>
      <w:footerReference r:id="rId4" w:type="default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7BE0B2">
    <w:pPr>
      <w:pStyle w:val="7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14C4792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CbVWnM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14C4792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663DDA">
    <w:pPr>
      <w:pStyle w:val="8"/>
    </w:pPr>
    <w:r>
      <w:rPr>
        <w:rFonts w:hint="eastAsia"/>
      </w:rPr>
      <w:t>江苏省服务类网上商城-供应商项目履约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Q0NjdkYjU0NDJiMjhlNWM3YjJhY2NkNWMyOGMxYzkifQ=="/>
  </w:docVars>
  <w:rsids>
    <w:rsidRoot w:val="0057784F"/>
    <w:rsid w:val="00151F8F"/>
    <w:rsid w:val="001B0806"/>
    <w:rsid w:val="001D23D7"/>
    <w:rsid w:val="005040B7"/>
    <w:rsid w:val="0057784F"/>
    <w:rsid w:val="00794A6F"/>
    <w:rsid w:val="00A85D92"/>
    <w:rsid w:val="00BC76FA"/>
    <w:rsid w:val="015E7AA7"/>
    <w:rsid w:val="016564BB"/>
    <w:rsid w:val="023615AF"/>
    <w:rsid w:val="0270734E"/>
    <w:rsid w:val="03E868D9"/>
    <w:rsid w:val="050C35C9"/>
    <w:rsid w:val="078B1ABB"/>
    <w:rsid w:val="0958005D"/>
    <w:rsid w:val="0A47314C"/>
    <w:rsid w:val="0EF40828"/>
    <w:rsid w:val="0F384BB8"/>
    <w:rsid w:val="108C51BC"/>
    <w:rsid w:val="13BE2E6A"/>
    <w:rsid w:val="14E34E43"/>
    <w:rsid w:val="160152CC"/>
    <w:rsid w:val="184D5C13"/>
    <w:rsid w:val="1CCF0F0A"/>
    <w:rsid w:val="1D447DD7"/>
    <w:rsid w:val="1DDC7057"/>
    <w:rsid w:val="1F9B431D"/>
    <w:rsid w:val="20624001"/>
    <w:rsid w:val="268A58A2"/>
    <w:rsid w:val="26D30788"/>
    <w:rsid w:val="26E72CF4"/>
    <w:rsid w:val="29F115DD"/>
    <w:rsid w:val="2A827B13"/>
    <w:rsid w:val="2D9A3BB6"/>
    <w:rsid w:val="2DAA091C"/>
    <w:rsid w:val="30925CB5"/>
    <w:rsid w:val="336B6A5B"/>
    <w:rsid w:val="33D75E9F"/>
    <w:rsid w:val="35B800F0"/>
    <w:rsid w:val="36E444EB"/>
    <w:rsid w:val="3A944AE9"/>
    <w:rsid w:val="3A9C74FA"/>
    <w:rsid w:val="3AEC013B"/>
    <w:rsid w:val="42576B28"/>
    <w:rsid w:val="42C65A5C"/>
    <w:rsid w:val="488312FF"/>
    <w:rsid w:val="49EB0D5C"/>
    <w:rsid w:val="4BA71BFE"/>
    <w:rsid w:val="4CE7585A"/>
    <w:rsid w:val="4DB7491F"/>
    <w:rsid w:val="4E314D77"/>
    <w:rsid w:val="519531C9"/>
    <w:rsid w:val="533E5B33"/>
    <w:rsid w:val="54FC530D"/>
    <w:rsid w:val="57527466"/>
    <w:rsid w:val="5A040EEC"/>
    <w:rsid w:val="5A5F317D"/>
    <w:rsid w:val="5CB9766B"/>
    <w:rsid w:val="5E910C8A"/>
    <w:rsid w:val="5F151F8E"/>
    <w:rsid w:val="5F530220"/>
    <w:rsid w:val="60730B79"/>
    <w:rsid w:val="616E1341"/>
    <w:rsid w:val="62CE02E9"/>
    <w:rsid w:val="62E92084"/>
    <w:rsid w:val="65362175"/>
    <w:rsid w:val="6A4D41E9"/>
    <w:rsid w:val="6A87759C"/>
    <w:rsid w:val="6B1C764D"/>
    <w:rsid w:val="6E555339"/>
    <w:rsid w:val="6EA463A2"/>
    <w:rsid w:val="70BF5715"/>
    <w:rsid w:val="755F42FB"/>
    <w:rsid w:val="760F2C9B"/>
    <w:rsid w:val="7770413C"/>
    <w:rsid w:val="7B36760F"/>
    <w:rsid w:val="7F2D5F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20"/>
    <w:semiHidden/>
    <w:unhideWhenUsed/>
    <w:qFormat/>
    <w:uiPriority w:val="0"/>
    <w:pPr>
      <w:spacing w:beforeAutospacing="1" w:afterAutospacing="1"/>
      <w:jc w:val="left"/>
      <w:outlineLvl w:val="1"/>
    </w:pPr>
    <w:rPr>
      <w:rFonts w:hint="eastAsia" w:ascii="宋体" w:hAnsi="宋体" w:eastAsia="宋体" w:cs="Times New Roman"/>
      <w:b/>
      <w:bCs/>
      <w:kern w:val="0"/>
      <w:sz w:val="36"/>
      <w:szCs w:val="36"/>
    </w:rPr>
  </w:style>
  <w:style w:type="paragraph" w:styleId="4">
    <w:name w:val="heading 3"/>
    <w:basedOn w:val="1"/>
    <w:next w:val="1"/>
    <w:autoRedefine/>
    <w:unhideWhenUsed/>
    <w:qFormat/>
    <w:uiPriority w:val="0"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after="29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autoRedefine/>
    <w:qFormat/>
    <w:uiPriority w:val="39"/>
    <w:pPr>
      <w:ind w:left="840" w:leftChars="400"/>
    </w:p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9">
    <w:name w:val="toc 1"/>
    <w:basedOn w:val="1"/>
    <w:next w:val="1"/>
    <w:qFormat/>
    <w:uiPriority w:val="39"/>
  </w:style>
  <w:style w:type="paragraph" w:styleId="10">
    <w:name w:val="toc 2"/>
    <w:basedOn w:val="1"/>
    <w:next w:val="1"/>
    <w:autoRedefine/>
    <w:qFormat/>
    <w:uiPriority w:val="39"/>
    <w:pPr>
      <w:ind w:left="420" w:leftChars="200"/>
    </w:pPr>
  </w:style>
  <w:style w:type="paragraph" w:styleId="11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13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5">
    <w:name w:val="Strong"/>
    <w:basedOn w:val="14"/>
    <w:qFormat/>
    <w:uiPriority w:val="0"/>
    <w:rPr>
      <w:b/>
    </w:rPr>
  </w:style>
  <w:style w:type="character" w:styleId="16">
    <w:name w:val="Hyperlink"/>
    <w:basedOn w:val="14"/>
    <w:unhideWhenUsed/>
    <w:qFormat/>
    <w:uiPriority w:val="99"/>
    <w:rPr>
      <w:color w:val="0026E5" w:themeColor="hyperlink"/>
      <w:u w:val="single"/>
      <w14:textFill>
        <w14:solidFill>
          <w14:schemeClr w14:val="hlink"/>
        </w14:solidFill>
      </w14:textFill>
    </w:rPr>
  </w:style>
  <w:style w:type="paragraph" w:customStyle="1" w:styleId="17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18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19">
    <w:name w:val="WPSOffice手动目录 3"/>
    <w:autoRedefine/>
    <w:qFormat/>
    <w:uiPriority w:val="0"/>
    <w:pPr>
      <w:ind w:left="400" w:leftChars="400"/>
    </w:pPr>
    <w:rPr>
      <w:rFonts w:ascii="Times New Roman" w:hAnsi="Times New Roman" w:eastAsia="宋体" w:cs="Times New Roman"/>
      <w:lang w:val="en-US" w:eastAsia="zh-CN" w:bidi="ar-SA"/>
    </w:rPr>
  </w:style>
  <w:style w:type="character" w:customStyle="1" w:styleId="20">
    <w:name w:val="标题 2 字符"/>
    <w:link w:val="3"/>
    <w:autoRedefine/>
    <w:qFormat/>
    <w:uiPriority w:val="0"/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11</Pages>
  <Words>1612</Words>
  <Characters>1645</Characters>
  <Lines>17</Lines>
  <Paragraphs>4</Paragraphs>
  <TotalTime>0</TotalTime>
  <ScaleCrop>false</ScaleCrop>
  <LinksUpToDate>false</LinksUpToDate>
  <CharactersWithSpaces>1682</CharactersWithSpaces>
  <Application>WPS Office_12.1.0.17813_F1E327BC-269C-435d-A152-05C5408002CA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2023-07-28T02:12:00Z</dcterms:created>
  <dc:creator>Administrator</dc:creator>
  <cp:lastModifiedBy>服务类网上商城</cp:lastModifiedBy>
  <dcterms:modified xsi:type="dcterms:W3CDTF">2024-07-30T09:49:15Z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2052-12.1.0.17813</vt:lpwstr>
  </property>
  <property fmtid="{D5CDD505-2E9C-101B-9397-08002B2CF9AE}" pid="3" name="ICV">
    <vt:lpwstr>43FD2BD5739A42C298EAEEDD4CE13DE5_12</vt:lpwstr>
  </property>
</Properties>
</file>